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8B4053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8B4053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8B4053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880622" w:rsidP="0088062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>
              <w:rPr>
                <w:sz w:val="20"/>
                <w:szCs w:val="20"/>
              </w:rPr>
              <w:t xml:space="preserve">поселке </w:t>
            </w:r>
            <w:proofErr w:type="spellStart"/>
            <w:r>
              <w:rPr>
                <w:sz w:val="20"/>
                <w:szCs w:val="20"/>
              </w:rPr>
              <w:t>Курилово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880622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proofErr w:type="spellStart"/>
            <w:r>
              <w:rPr>
                <w:sz w:val="20"/>
                <w:szCs w:val="20"/>
              </w:rPr>
              <w:t>Курилово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8B4053" w:rsidRPr="005B6D74" w:rsidRDefault="008B4053" w:rsidP="008B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8B4053" w:rsidRPr="005B6D74" w:rsidRDefault="008B4053" w:rsidP="008B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8B4053" w:rsidRPr="00A034B0" w:rsidRDefault="008B4053" w:rsidP="008B4053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4053" w:rsidRPr="005B6D74" w:rsidRDefault="008B4053" w:rsidP="008B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8B4053" w:rsidRDefault="008B4053" w:rsidP="008B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8B4053" w:rsidRPr="005B6D74" w:rsidRDefault="008B4053" w:rsidP="008B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8B4053" w:rsidRPr="005B6D74" w:rsidRDefault="008B4053" w:rsidP="008B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8B4053" w:rsidRPr="005B6D74" w:rsidRDefault="008B4053" w:rsidP="008B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80622"/>
    <w:rsid w:val="008A4341"/>
    <w:rsid w:val="008B4053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2020-09-14T09:20:00Z</dcterms:modified>
</cp:coreProperties>
</file>